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59A3" w14:textId="77777777" w:rsidR="004E058F" w:rsidRPr="009D318C" w:rsidRDefault="00B0404A" w:rsidP="008104F2">
      <w:pPr>
        <w:pStyle w:val="Title"/>
        <w:spacing w:before="360"/>
        <w:jc w:val="left"/>
        <w:rPr>
          <w:sz w:val="50"/>
          <w:szCs w:val="50"/>
        </w:rPr>
      </w:pPr>
      <w:r w:rsidRPr="009D318C">
        <w:rPr>
          <w:sz w:val="50"/>
          <w:szCs w:val="50"/>
        </w:rPr>
        <w:t>Accessibility checklist for employers</w:t>
      </w:r>
    </w:p>
    <w:p w14:paraId="20129370" w14:textId="77777777" w:rsidR="0035420B" w:rsidRPr="003E7C93" w:rsidRDefault="00C95E3F" w:rsidP="00617677">
      <w:pPr>
        <w:spacing w:before="600" w:after="240" w:line="320" w:lineRule="exact"/>
        <w:rPr>
          <w:sz w:val="28"/>
          <w:szCs w:val="28"/>
        </w:rPr>
      </w:pPr>
      <w:r w:rsidRPr="006E3BD9">
        <w:rPr>
          <w:noProof/>
          <w:color w:val="850C6C"/>
          <w:sz w:val="60"/>
          <w:szCs w:val="60"/>
          <w:lang w:eastAsia="en-AU"/>
        </w:rPr>
        <w:drawing>
          <wp:anchor distT="0" distB="0" distL="180340" distR="180340" simplePos="0" relativeHeight="251659264" behindDoc="0" locked="0" layoutInCell="1" allowOverlap="1" wp14:anchorId="6C8A10FC" wp14:editId="07BA8DAF">
            <wp:simplePos x="0" y="0"/>
            <wp:positionH relativeFrom="column">
              <wp:posOffset>3084195</wp:posOffset>
            </wp:positionH>
            <wp:positionV relativeFrom="paragraph">
              <wp:posOffset>215900</wp:posOffset>
            </wp:positionV>
            <wp:extent cx="3289935" cy="2195830"/>
            <wp:effectExtent l="57150" t="57150" r="62865" b="52070"/>
            <wp:wrapSquare wrapText="bothSides"/>
            <wp:docPr id="5" name="Picture 5" descr="Image depicts two people sitting at a table. One of the people uses a wheelchair." title="JobAcc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0040\Desktop\JobAccess English Information Sheet\Images\DSS+SYD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19583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1">
                          <a:shade val="95000"/>
                          <a:satMod val="10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20B" w:rsidRPr="003E7C93">
        <w:rPr>
          <w:sz w:val="28"/>
          <w:szCs w:val="28"/>
        </w:rPr>
        <w:t>Use this checklist for ideas on how you might improve your organisation’s workplace flexibility and accessibility.</w:t>
      </w:r>
    </w:p>
    <w:p w14:paraId="03AF05A2" w14:textId="77777777" w:rsidR="0035420B" w:rsidRPr="003E7C93" w:rsidRDefault="0035420B" w:rsidP="00617677">
      <w:pPr>
        <w:spacing w:before="240" w:after="240" w:line="320" w:lineRule="exact"/>
        <w:rPr>
          <w:sz w:val="28"/>
          <w:szCs w:val="28"/>
        </w:rPr>
      </w:pPr>
      <w:r w:rsidRPr="003E7C93">
        <w:rPr>
          <w:sz w:val="28"/>
          <w:szCs w:val="28"/>
        </w:rPr>
        <w:t>As a starting point, you might consider implementing one or more of the following policies or programs:</w:t>
      </w:r>
    </w:p>
    <w:p w14:paraId="6C77D870" w14:textId="77777777" w:rsidR="0035420B" w:rsidRPr="003E7C93" w:rsidRDefault="0035420B" w:rsidP="00617677">
      <w:pPr>
        <w:spacing w:before="240" w:after="240" w:line="320" w:lineRule="exact"/>
        <w:rPr>
          <w:sz w:val="28"/>
          <w:szCs w:val="28"/>
        </w:rPr>
      </w:pPr>
      <w:r w:rsidRPr="003E7C93">
        <w:rPr>
          <w:sz w:val="28"/>
          <w:szCs w:val="28"/>
        </w:rPr>
        <w:sym w:font="Wingdings" w:char="F06F"/>
      </w:r>
      <w:r w:rsidRPr="003E7C93">
        <w:rPr>
          <w:sz w:val="28"/>
          <w:szCs w:val="28"/>
        </w:rPr>
        <w:t xml:space="preserve"> Equal employment opportunity and or diversity program</w:t>
      </w:r>
    </w:p>
    <w:p w14:paraId="4CB7308E" w14:textId="77777777" w:rsidR="0035420B" w:rsidRPr="003E7C93" w:rsidRDefault="0035420B" w:rsidP="00617677">
      <w:pPr>
        <w:spacing w:before="240" w:after="240" w:line="320" w:lineRule="exact"/>
        <w:rPr>
          <w:sz w:val="28"/>
          <w:szCs w:val="28"/>
        </w:rPr>
      </w:pPr>
      <w:r w:rsidRPr="003E7C93">
        <w:rPr>
          <w:sz w:val="28"/>
          <w:szCs w:val="28"/>
        </w:rPr>
        <w:sym w:font="Wingdings" w:char="F06F"/>
      </w:r>
      <w:r w:rsidRPr="003E7C93">
        <w:rPr>
          <w:sz w:val="28"/>
          <w:szCs w:val="28"/>
        </w:rPr>
        <w:t xml:space="preserve"> Reasonable adjustment / flexible work arrangements</w:t>
      </w:r>
    </w:p>
    <w:p w14:paraId="2ACE98C5" w14:textId="77777777" w:rsidR="0035420B" w:rsidRPr="003E7C93" w:rsidRDefault="0035420B" w:rsidP="00617677">
      <w:pPr>
        <w:spacing w:before="240" w:after="240" w:line="320" w:lineRule="exact"/>
        <w:rPr>
          <w:sz w:val="28"/>
          <w:szCs w:val="28"/>
        </w:rPr>
      </w:pPr>
      <w:r w:rsidRPr="003E7C93">
        <w:rPr>
          <w:sz w:val="28"/>
          <w:szCs w:val="28"/>
        </w:rPr>
        <w:sym w:font="Wingdings" w:char="F06F"/>
      </w:r>
      <w:r w:rsidRPr="003E7C93">
        <w:rPr>
          <w:sz w:val="28"/>
          <w:szCs w:val="28"/>
        </w:rPr>
        <w:t xml:space="preserve"> Accessibility action plan</w:t>
      </w:r>
    </w:p>
    <w:p w14:paraId="52C78798" w14:textId="77777777" w:rsidR="0035420B" w:rsidRPr="003E7C93" w:rsidRDefault="0035420B" w:rsidP="00617677">
      <w:pPr>
        <w:spacing w:before="240" w:after="240" w:line="320" w:lineRule="exact"/>
        <w:rPr>
          <w:sz w:val="28"/>
          <w:szCs w:val="28"/>
        </w:rPr>
      </w:pPr>
      <w:r w:rsidRPr="003E7C93">
        <w:rPr>
          <w:sz w:val="28"/>
          <w:szCs w:val="28"/>
        </w:rPr>
        <w:sym w:font="Wingdings" w:char="F06F"/>
      </w:r>
      <w:r w:rsidRPr="003E7C93">
        <w:rPr>
          <w:sz w:val="28"/>
          <w:szCs w:val="28"/>
        </w:rPr>
        <w:t xml:space="preserve"> </w:t>
      </w:r>
      <w:r w:rsidR="003E7C93" w:rsidRPr="003E7C93">
        <w:rPr>
          <w:sz w:val="28"/>
          <w:szCs w:val="28"/>
        </w:rPr>
        <w:t>Diversity and disclosure</w:t>
      </w:r>
    </w:p>
    <w:p w14:paraId="4BA9BDBE" w14:textId="77777777" w:rsidR="0035420B" w:rsidRPr="003E7C93" w:rsidRDefault="0035420B" w:rsidP="00617677">
      <w:pPr>
        <w:spacing w:before="240" w:after="240" w:line="320" w:lineRule="exact"/>
        <w:rPr>
          <w:sz w:val="28"/>
          <w:szCs w:val="28"/>
        </w:rPr>
      </w:pPr>
      <w:r w:rsidRPr="003E7C93">
        <w:rPr>
          <w:sz w:val="28"/>
          <w:szCs w:val="28"/>
        </w:rPr>
        <w:sym w:font="Wingdings" w:char="F06F"/>
      </w:r>
      <w:r w:rsidRPr="003E7C93">
        <w:rPr>
          <w:sz w:val="28"/>
          <w:szCs w:val="28"/>
        </w:rPr>
        <w:t xml:space="preserve"> Return to work policy</w:t>
      </w:r>
    </w:p>
    <w:p w14:paraId="49E0EE9A" w14:textId="77777777" w:rsidR="0035420B" w:rsidRPr="003E7C93" w:rsidRDefault="0035420B" w:rsidP="00617677">
      <w:pPr>
        <w:spacing w:before="240" w:after="240" w:line="320" w:lineRule="exact"/>
        <w:rPr>
          <w:sz w:val="28"/>
          <w:szCs w:val="28"/>
        </w:rPr>
      </w:pPr>
      <w:r w:rsidRPr="003E7C93">
        <w:rPr>
          <w:sz w:val="28"/>
          <w:szCs w:val="28"/>
        </w:rPr>
        <w:sym w:font="Wingdings" w:char="F06F"/>
      </w:r>
      <w:r w:rsidRPr="003E7C93">
        <w:rPr>
          <w:sz w:val="28"/>
          <w:szCs w:val="28"/>
        </w:rPr>
        <w:t xml:space="preserve"> Disability awareness training programs</w:t>
      </w:r>
    </w:p>
    <w:p w14:paraId="552E55D9" w14:textId="77777777" w:rsidR="0035420B" w:rsidRPr="003E7C93" w:rsidRDefault="0035420B" w:rsidP="00617677">
      <w:pPr>
        <w:spacing w:before="240" w:after="240" w:line="320" w:lineRule="exact"/>
        <w:rPr>
          <w:sz w:val="28"/>
          <w:szCs w:val="28"/>
        </w:rPr>
      </w:pPr>
      <w:r w:rsidRPr="003E7C93">
        <w:rPr>
          <w:sz w:val="28"/>
          <w:szCs w:val="28"/>
        </w:rPr>
        <w:sym w:font="Wingdings" w:char="F06F"/>
      </w:r>
      <w:r w:rsidRPr="003E7C93">
        <w:rPr>
          <w:sz w:val="28"/>
          <w:szCs w:val="28"/>
        </w:rPr>
        <w:t xml:space="preserve"> Executive disability champions</w:t>
      </w:r>
    </w:p>
    <w:p w14:paraId="6DA03FBE" w14:textId="77777777" w:rsidR="0035420B" w:rsidRPr="003E7C93" w:rsidRDefault="0035420B" w:rsidP="00617677">
      <w:pPr>
        <w:spacing w:before="240" w:after="240" w:line="320" w:lineRule="exact"/>
        <w:rPr>
          <w:sz w:val="28"/>
          <w:szCs w:val="28"/>
        </w:rPr>
      </w:pPr>
      <w:r w:rsidRPr="003E7C93">
        <w:rPr>
          <w:sz w:val="28"/>
          <w:szCs w:val="28"/>
        </w:rPr>
        <w:sym w:font="Wingdings" w:char="F06F"/>
      </w:r>
      <w:r w:rsidRPr="003E7C93">
        <w:rPr>
          <w:sz w:val="28"/>
          <w:szCs w:val="28"/>
        </w:rPr>
        <w:t xml:space="preserve"> Disability mentoring</w:t>
      </w:r>
    </w:p>
    <w:p w14:paraId="37BA5B07" w14:textId="77777777" w:rsidR="00617677" w:rsidRDefault="0035420B" w:rsidP="00217FBF">
      <w:pPr>
        <w:spacing w:before="240" w:after="240" w:line="320" w:lineRule="exact"/>
        <w:jc w:val="left"/>
        <w:rPr>
          <w:sz w:val="28"/>
          <w:szCs w:val="28"/>
        </w:rPr>
      </w:pPr>
      <w:r w:rsidRPr="003E7C93">
        <w:rPr>
          <w:sz w:val="28"/>
          <w:szCs w:val="28"/>
        </w:rPr>
        <w:sym w:font="Wingdings" w:char="F06F"/>
      </w:r>
      <w:r w:rsidRPr="003E7C93">
        <w:rPr>
          <w:sz w:val="28"/>
          <w:szCs w:val="28"/>
        </w:rPr>
        <w:t xml:space="preserve"> Disability employee networks</w:t>
      </w:r>
    </w:p>
    <w:p w14:paraId="0342F0E4" w14:textId="77777777" w:rsidR="00617677" w:rsidRDefault="00617677" w:rsidP="00617677">
      <w:pPr>
        <w:spacing w:before="240" w:after="240"/>
        <w:jc w:val="left"/>
        <w:rPr>
          <w:sz w:val="28"/>
          <w:szCs w:val="28"/>
        </w:rPr>
        <w:sectPr w:rsidR="00617677" w:rsidSect="00C22E88">
          <w:footerReference w:type="default" r:id="rId9"/>
          <w:headerReference w:type="first" r:id="rId10"/>
          <w:type w:val="continuous"/>
          <w:pgSz w:w="11906" w:h="16838" w:code="9"/>
          <w:pgMar w:top="-2835" w:right="907" w:bottom="426" w:left="907" w:header="709" w:footer="412" w:gutter="0"/>
          <w:cols w:space="708"/>
          <w:titlePg/>
          <w:docGrid w:linePitch="360"/>
        </w:sectPr>
      </w:pPr>
    </w:p>
    <w:p w14:paraId="3A200A09" w14:textId="77777777" w:rsidR="003E7C93" w:rsidRPr="00C41CA4" w:rsidRDefault="003E7C93" w:rsidP="00217FBF">
      <w:pPr>
        <w:spacing w:before="1560"/>
        <w:ind w:left="3402"/>
        <w:rPr>
          <w:color w:val="auto"/>
          <w:szCs w:val="24"/>
        </w:rPr>
      </w:pPr>
      <w:r w:rsidRPr="00C41CA4">
        <w:rPr>
          <w:color w:val="auto"/>
          <w:szCs w:val="24"/>
        </w:rPr>
        <w:t>JobAccess is the national hub for workplace and employment information for people with disability, employers and service providers.</w:t>
      </w:r>
    </w:p>
    <w:p w14:paraId="7A2DBF61" w14:textId="77777777" w:rsidR="003E7C93" w:rsidRDefault="003E7C93" w:rsidP="003E7C93">
      <w:pPr>
        <w:pStyle w:val="Heading1"/>
        <w:tabs>
          <w:tab w:val="right" w:pos="10065"/>
        </w:tabs>
        <w:spacing w:before="240"/>
        <w:ind w:left="3360"/>
      </w:pPr>
      <w:r>
        <w:t>1800 464 800</w:t>
      </w:r>
      <w:r>
        <w:tab/>
        <w:t>www.jobaccess.gov.au</w:t>
      </w:r>
    </w:p>
    <w:p w14:paraId="4813E15A" w14:textId="77777777" w:rsidR="003E7C93" w:rsidRDefault="00FD34E7" w:rsidP="00B05232">
      <w:pPr>
        <w:tabs>
          <w:tab w:val="right" w:pos="10065"/>
        </w:tabs>
        <w:spacing w:before="360"/>
      </w:pPr>
      <w:r>
        <w:rPr>
          <w:rStyle w:val="Emphasis"/>
          <w:color w:val="850C6C"/>
        </w:rPr>
        <w:t>Accessibility checklist for employers</w:t>
      </w:r>
      <w:r w:rsidR="003E7C93" w:rsidRPr="00347ED4">
        <w:rPr>
          <w:rStyle w:val="Emphasis"/>
          <w:color w:val="850C6C"/>
        </w:rPr>
        <w:t xml:space="preserve"> V.1.0 </w:t>
      </w:r>
      <w:r w:rsidR="00B05232">
        <w:rPr>
          <w:rStyle w:val="Emphasis"/>
          <w:color w:val="850C6C"/>
        </w:rPr>
        <w:tab/>
      </w:r>
      <w:r w:rsidR="00B05232" w:rsidRPr="00B05232">
        <w:rPr>
          <w:rStyle w:val="Emphasis"/>
          <w:color w:val="850C6C"/>
        </w:rPr>
        <w:t>1892.06.16</w:t>
      </w:r>
    </w:p>
    <w:p w14:paraId="3DB90FF0" w14:textId="77777777" w:rsidR="00DE49DE" w:rsidRPr="00F85F88" w:rsidRDefault="00DE49DE" w:rsidP="00085711">
      <w:pPr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lastRenderedPageBreak/>
        <w:t>You can also consider the following ideas that may help to make your organisation a more accessible workplace and an employer of choice for people with disability:</w:t>
      </w:r>
    </w:p>
    <w:p w14:paraId="7FA546A5" w14:textId="77777777" w:rsidR="00DE49DE" w:rsidRPr="00F85F88" w:rsidRDefault="00DE49DE" w:rsidP="00085711">
      <w:pPr>
        <w:spacing w:before="360"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How is the advertisement of vacancies and position descriptions structured by your organisation – do they welcome people with disability to apply, and is the advertisement accessible in online and printed media (such as braille or large print)?</w:t>
      </w:r>
    </w:p>
    <w:p w14:paraId="02942DB1" w14:textId="77777777" w:rsidR="0035420B" w:rsidRPr="00F85F88" w:rsidRDefault="0035420B" w:rsidP="00085711">
      <w:pPr>
        <w:spacing w:before="360"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Widen your organisation</w:t>
      </w:r>
      <w:r w:rsidR="0029009D">
        <w:rPr>
          <w:sz w:val="28"/>
          <w:szCs w:val="28"/>
        </w:rPr>
        <w:t>’</w:t>
      </w:r>
      <w:r w:rsidRPr="00F85F88">
        <w:rPr>
          <w:sz w:val="28"/>
          <w:szCs w:val="28"/>
        </w:rPr>
        <w:t>s search for applicants by distributing vacancies to disability organisations or Disability Employment Services providers.</w:t>
      </w:r>
    </w:p>
    <w:p w14:paraId="09A99B9F" w14:textId="77777777" w:rsidR="0035420B" w:rsidRPr="00F85F88" w:rsidRDefault="0035420B" w:rsidP="00085711">
      <w:pPr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Provide work experience or offer traineeships or apprenticeships to people with disability as a way of increasing their knowledge and skills, and to access ongoing work.</w:t>
      </w:r>
    </w:p>
    <w:p w14:paraId="4AC3DEB5" w14:textId="77777777" w:rsidR="0035420B" w:rsidRPr="00F85F88" w:rsidRDefault="0035420B" w:rsidP="00085711">
      <w:pPr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Change the format of an interview to allow for reasonable adjustments – such as access to premises, access to a support person or advocate, or organising an Auslan interpreter.</w:t>
      </w:r>
    </w:p>
    <w:p w14:paraId="57439C36" w14:textId="77777777" w:rsidR="0035420B" w:rsidRPr="00F85F88" w:rsidRDefault="0035420B" w:rsidP="00085711">
      <w:pPr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Review the style, behaviour and technique of interview questions and assessment tasks to ensure they are inclusive of people with disability.</w:t>
      </w:r>
    </w:p>
    <w:p w14:paraId="57CCA5B2" w14:textId="77777777" w:rsidR="0035420B" w:rsidRPr="00F85F88" w:rsidRDefault="0035420B" w:rsidP="00085711">
      <w:pPr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Make it standard practice to discuss any reasonable adjustment once a job is offered to a person with disability.</w:t>
      </w:r>
    </w:p>
    <w:p w14:paraId="60FD94F3" w14:textId="77777777" w:rsidR="0035420B" w:rsidRPr="00F85F88" w:rsidRDefault="0035420B" w:rsidP="00085711">
      <w:pPr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Provide training materials in accessible formats – such as subtitled videos, plain English text, in-house IT systems that are compatible with screen reading programs and other assistive technology.</w:t>
      </w:r>
    </w:p>
    <w:p w14:paraId="7B480EB5" w14:textId="77777777" w:rsidR="0035420B" w:rsidRPr="00F85F88" w:rsidRDefault="0035420B" w:rsidP="00085711">
      <w:pPr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Arrange the purchase and installation of any workplace modifications, aids or assistive technology.</w:t>
      </w:r>
    </w:p>
    <w:p w14:paraId="16692D31" w14:textId="77777777" w:rsidR="0035420B" w:rsidRPr="00F85F88" w:rsidRDefault="0035420B" w:rsidP="00085711">
      <w:pPr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Implement an emergency evacuation procedure that addresses the needs of people with disability.</w:t>
      </w:r>
    </w:p>
    <w:p w14:paraId="5BF778F5" w14:textId="77777777" w:rsidR="0035420B" w:rsidRPr="00F85F88" w:rsidRDefault="0035420B" w:rsidP="00085711">
      <w:pPr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sym w:font="Wingdings" w:char="F06F"/>
      </w:r>
      <w:r w:rsidRPr="00F85F88">
        <w:rPr>
          <w:sz w:val="28"/>
          <w:szCs w:val="28"/>
        </w:rPr>
        <w:t xml:space="preserve"> Check that:</w:t>
      </w:r>
    </w:p>
    <w:p w14:paraId="3FE825C5" w14:textId="77777777" w:rsidR="0035420B" w:rsidRPr="00F85F88" w:rsidRDefault="0035420B" w:rsidP="00085711">
      <w:pPr>
        <w:pStyle w:val="Bullet2"/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t>your car park, entry and reception areas are easily accessible and free of hazards for people with disability</w:t>
      </w:r>
    </w:p>
    <w:p w14:paraId="47FDDD71" w14:textId="77777777" w:rsidR="0035420B" w:rsidRPr="00F85F88" w:rsidRDefault="0035420B" w:rsidP="00085711">
      <w:pPr>
        <w:pStyle w:val="Bullet2"/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t>floor coverings are non-slip, firm and smooth for people using a wheelchair or walking frame</w:t>
      </w:r>
    </w:p>
    <w:p w14:paraId="712520F3" w14:textId="77777777" w:rsidR="0035420B" w:rsidRPr="00F85F88" w:rsidRDefault="0035420B" w:rsidP="00085711">
      <w:pPr>
        <w:pStyle w:val="Bullet2"/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t>meeting rooms and break out facilities allow enough space for wheelchair users to operate without barriers and restrictions</w:t>
      </w:r>
    </w:p>
    <w:p w14:paraId="386DEF82" w14:textId="77777777" w:rsidR="003959FC" w:rsidRPr="00F85F88" w:rsidRDefault="0035420B" w:rsidP="00085711">
      <w:pPr>
        <w:pStyle w:val="Bullet2"/>
        <w:spacing w:line="320" w:lineRule="exact"/>
        <w:rPr>
          <w:sz w:val="28"/>
          <w:szCs w:val="28"/>
        </w:rPr>
      </w:pPr>
      <w:r w:rsidRPr="00F85F88">
        <w:rPr>
          <w:sz w:val="28"/>
          <w:szCs w:val="28"/>
        </w:rPr>
        <w:t>doors are easily and independently opened by all users – such as not being heavy or difficult to open and that door handles are at an easily accessible height.</w:t>
      </w:r>
    </w:p>
    <w:sectPr w:rsidR="003959FC" w:rsidRPr="00F85F88" w:rsidSect="00085711">
      <w:type w:val="continuous"/>
      <w:pgSz w:w="11906" w:h="16838" w:code="9"/>
      <w:pgMar w:top="-1135" w:right="907" w:bottom="426" w:left="907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32F4C" w14:textId="77777777" w:rsidR="00F1519E" w:rsidRDefault="00F1519E" w:rsidP="00EF4574">
      <w:pPr>
        <w:spacing w:before="0" w:after="0" w:line="240" w:lineRule="auto"/>
      </w:pPr>
      <w:r>
        <w:separator/>
      </w:r>
    </w:p>
  </w:endnote>
  <w:endnote w:type="continuationSeparator" w:id="0">
    <w:p w14:paraId="35865466" w14:textId="77777777" w:rsidR="00F1519E" w:rsidRDefault="00F1519E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19409" w14:textId="77777777" w:rsidR="00B96DCB" w:rsidRDefault="00B96DC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9EA394" wp14:editId="6FF63B3B">
              <wp:simplePos x="0" y="0"/>
              <wp:positionH relativeFrom="page">
                <wp:posOffset>360045</wp:posOffset>
              </wp:positionH>
              <wp:positionV relativeFrom="page">
                <wp:posOffset>10161905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E0392B" id="Straight Connector 3" o:spid="_x0000_s1026" alt="Title: background graphic line - Description: background graphic line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00.15pt" to="566.9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" strokecolor="#7e0e67 [3044]" strokeweight="4pt">
              <w10:wrap anchorx="page" anchory="page"/>
            </v:line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0523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58D39" w14:textId="77777777" w:rsidR="00F1519E" w:rsidRDefault="00F1519E" w:rsidP="00EF4574">
      <w:pPr>
        <w:spacing w:before="0" w:after="0" w:line="240" w:lineRule="auto"/>
      </w:pPr>
      <w:r>
        <w:separator/>
      </w:r>
    </w:p>
  </w:footnote>
  <w:footnote w:type="continuationSeparator" w:id="0">
    <w:p w14:paraId="46CDA9F7" w14:textId="77777777" w:rsidR="00F1519E" w:rsidRDefault="00F1519E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EEBD" w14:textId="77777777" w:rsidR="000705F9" w:rsidRDefault="003B3FA3" w:rsidP="006B22E4">
    <w:pPr>
      <w:pStyle w:val="Header"/>
      <w:tabs>
        <w:tab w:val="clear" w:pos="4513"/>
        <w:tab w:val="clear" w:pos="9026"/>
        <w:tab w:val="right" w:pos="10065"/>
      </w:tabs>
    </w:pPr>
    <w:r w:rsidRPr="00E67F4B">
      <w:rPr>
        <w:noProof/>
        <w:sz w:val="28"/>
        <w:szCs w:val="28"/>
        <w:lang w:eastAsia="en-AU"/>
      </w:rPr>
      <w:drawing>
        <wp:anchor distT="0" distB="0" distL="114300" distR="114300" simplePos="0" relativeHeight="251666432" behindDoc="0" locked="0" layoutInCell="1" allowOverlap="1" wp14:anchorId="544B37CD" wp14:editId="64A88691">
          <wp:simplePos x="0" y="0"/>
          <wp:positionH relativeFrom="column">
            <wp:posOffset>61595</wp:posOffset>
          </wp:positionH>
          <wp:positionV relativeFrom="paragraph">
            <wp:posOffset>8619000</wp:posOffset>
          </wp:positionV>
          <wp:extent cx="2002155" cy="953770"/>
          <wp:effectExtent l="0" t="0" r="0" b="0"/>
          <wp:wrapNone/>
          <wp:docPr id="8" name="Picture 8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2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3F5360" wp14:editId="086E5688">
              <wp:simplePos x="0" y="0"/>
              <wp:positionH relativeFrom="page">
                <wp:posOffset>575310</wp:posOffset>
              </wp:positionH>
              <wp:positionV relativeFrom="page">
                <wp:posOffset>8886335</wp:posOffset>
              </wp:positionV>
              <wp:extent cx="6460067" cy="0"/>
              <wp:effectExtent l="0" t="19050" r="17145" b="38100"/>
              <wp:wrapNone/>
              <wp:docPr id="2" name="Straight Connector 2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0067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64B398" id="Straight Connector 2" o:spid="_x0000_s1026" alt="Title: background graphic line - Description: background graphic line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5.3pt,699.7pt" to="553.95pt,6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" strokecolor="#7e0e67 [3044]" strokeweight="4pt">
              <w10:wrap anchorx="page" anchory="page"/>
            </v:line>
          </w:pict>
        </mc:Fallback>
      </mc:AlternateContent>
    </w:r>
    <w:r w:rsidR="005174E8">
      <w:rPr>
        <w:noProof/>
        <w:lang w:eastAsia="en-AU"/>
      </w:rPr>
      <w:drawing>
        <wp:inline distT="0" distB="0" distL="0" distR="0" wp14:anchorId="0BFA4BEB" wp14:editId="1C3F25CE">
          <wp:extent cx="3217515" cy="1075267"/>
          <wp:effectExtent l="0" t="0" r="2540" b="0"/>
          <wp:docPr id="9" name="Picture 9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515" cy="107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5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78149869">
    <w:abstractNumId w:val="5"/>
  </w:num>
  <w:num w:numId="2" w16cid:durableId="79039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241705">
    <w:abstractNumId w:val="0"/>
  </w:num>
  <w:num w:numId="4" w16cid:durableId="976374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677477">
    <w:abstractNumId w:val="2"/>
  </w:num>
  <w:num w:numId="6" w16cid:durableId="1440025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899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698795">
    <w:abstractNumId w:val="1"/>
  </w:num>
  <w:num w:numId="9" w16cid:durableId="643511530">
    <w:abstractNumId w:val="3"/>
  </w:num>
  <w:num w:numId="10" w16cid:durableId="1296445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6C"/>
    <w:rsid w:val="00010EB8"/>
    <w:rsid w:val="00012A6F"/>
    <w:rsid w:val="0002782F"/>
    <w:rsid w:val="00047174"/>
    <w:rsid w:val="00050B12"/>
    <w:rsid w:val="00054E4D"/>
    <w:rsid w:val="00060073"/>
    <w:rsid w:val="000705F9"/>
    <w:rsid w:val="00085711"/>
    <w:rsid w:val="000A197D"/>
    <w:rsid w:val="0011342E"/>
    <w:rsid w:val="001541EA"/>
    <w:rsid w:val="00196460"/>
    <w:rsid w:val="001A7DDE"/>
    <w:rsid w:val="001C5B63"/>
    <w:rsid w:val="001E1DC0"/>
    <w:rsid w:val="00201B81"/>
    <w:rsid w:val="00217FBF"/>
    <w:rsid w:val="00240254"/>
    <w:rsid w:val="00283D44"/>
    <w:rsid w:val="0028602A"/>
    <w:rsid w:val="0029009D"/>
    <w:rsid w:val="00292403"/>
    <w:rsid w:val="002C2585"/>
    <w:rsid w:val="002D50EF"/>
    <w:rsid w:val="00301144"/>
    <w:rsid w:val="003061F1"/>
    <w:rsid w:val="00311F47"/>
    <w:rsid w:val="003148B7"/>
    <w:rsid w:val="003158C3"/>
    <w:rsid w:val="003274CD"/>
    <w:rsid w:val="00347ED4"/>
    <w:rsid w:val="0035119D"/>
    <w:rsid w:val="0035420B"/>
    <w:rsid w:val="00362D62"/>
    <w:rsid w:val="003809F7"/>
    <w:rsid w:val="003959FC"/>
    <w:rsid w:val="003A3376"/>
    <w:rsid w:val="003B3FA3"/>
    <w:rsid w:val="003B4F12"/>
    <w:rsid w:val="003E7C93"/>
    <w:rsid w:val="0040158B"/>
    <w:rsid w:val="00423F31"/>
    <w:rsid w:val="0042695C"/>
    <w:rsid w:val="00431899"/>
    <w:rsid w:val="00474467"/>
    <w:rsid w:val="00486804"/>
    <w:rsid w:val="00486D22"/>
    <w:rsid w:val="004A02FD"/>
    <w:rsid w:val="004B203B"/>
    <w:rsid w:val="004B3775"/>
    <w:rsid w:val="004E058F"/>
    <w:rsid w:val="004E3B87"/>
    <w:rsid w:val="00510921"/>
    <w:rsid w:val="00510AD3"/>
    <w:rsid w:val="00513348"/>
    <w:rsid w:val="005166E8"/>
    <w:rsid w:val="005174E8"/>
    <w:rsid w:val="00533B5D"/>
    <w:rsid w:val="00584817"/>
    <w:rsid w:val="005A1F1B"/>
    <w:rsid w:val="005F4FBF"/>
    <w:rsid w:val="00617677"/>
    <w:rsid w:val="00623BA1"/>
    <w:rsid w:val="006346BC"/>
    <w:rsid w:val="0066652A"/>
    <w:rsid w:val="0068036A"/>
    <w:rsid w:val="00682167"/>
    <w:rsid w:val="00682579"/>
    <w:rsid w:val="006A3365"/>
    <w:rsid w:val="006B22E4"/>
    <w:rsid w:val="006C42AF"/>
    <w:rsid w:val="00711D8E"/>
    <w:rsid w:val="00712672"/>
    <w:rsid w:val="00734E3F"/>
    <w:rsid w:val="00736985"/>
    <w:rsid w:val="007B6200"/>
    <w:rsid w:val="007B6F69"/>
    <w:rsid w:val="007B6FA4"/>
    <w:rsid w:val="00801B9F"/>
    <w:rsid w:val="008104F2"/>
    <w:rsid w:val="0082796D"/>
    <w:rsid w:val="00894A5F"/>
    <w:rsid w:val="008A730F"/>
    <w:rsid w:val="008D0FAE"/>
    <w:rsid w:val="009545B5"/>
    <w:rsid w:val="009A4B7C"/>
    <w:rsid w:val="009B4D3B"/>
    <w:rsid w:val="009C3718"/>
    <w:rsid w:val="009D318C"/>
    <w:rsid w:val="009D7407"/>
    <w:rsid w:val="009E0866"/>
    <w:rsid w:val="00A24A62"/>
    <w:rsid w:val="00A31C9F"/>
    <w:rsid w:val="00A55104"/>
    <w:rsid w:val="00AC164A"/>
    <w:rsid w:val="00AF1058"/>
    <w:rsid w:val="00AF2050"/>
    <w:rsid w:val="00B0404A"/>
    <w:rsid w:val="00B05232"/>
    <w:rsid w:val="00B113F5"/>
    <w:rsid w:val="00B13E92"/>
    <w:rsid w:val="00B66B14"/>
    <w:rsid w:val="00B707A8"/>
    <w:rsid w:val="00B96DCB"/>
    <w:rsid w:val="00BB26C5"/>
    <w:rsid w:val="00BC3098"/>
    <w:rsid w:val="00BF4DE6"/>
    <w:rsid w:val="00C22E88"/>
    <w:rsid w:val="00C40AD2"/>
    <w:rsid w:val="00C41CA4"/>
    <w:rsid w:val="00C42CDE"/>
    <w:rsid w:val="00C95CDE"/>
    <w:rsid w:val="00C95E3F"/>
    <w:rsid w:val="00CA37B1"/>
    <w:rsid w:val="00CA7E67"/>
    <w:rsid w:val="00CB1959"/>
    <w:rsid w:val="00CB507A"/>
    <w:rsid w:val="00CD5CE5"/>
    <w:rsid w:val="00CE188E"/>
    <w:rsid w:val="00D0296C"/>
    <w:rsid w:val="00D2556C"/>
    <w:rsid w:val="00D93AC4"/>
    <w:rsid w:val="00D948FE"/>
    <w:rsid w:val="00DB62EE"/>
    <w:rsid w:val="00DE49DE"/>
    <w:rsid w:val="00E302E6"/>
    <w:rsid w:val="00E3059B"/>
    <w:rsid w:val="00E357B7"/>
    <w:rsid w:val="00E53800"/>
    <w:rsid w:val="00E6081F"/>
    <w:rsid w:val="00E67F4B"/>
    <w:rsid w:val="00EA04B2"/>
    <w:rsid w:val="00EA20F3"/>
    <w:rsid w:val="00EA41E3"/>
    <w:rsid w:val="00EC15AE"/>
    <w:rsid w:val="00ED43D1"/>
    <w:rsid w:val="00EE29CD"/>
    <w:rsid w:val="00EE4EE1"/>
    <w:rsid w:val="00EF4574"/>
    <w:rsid w:val="00F1519E"/>
    <w:rsid w:val="00F2684E"/>
    <w:rsid w:val="00F729EF"/>
    <w:rsid w:val="00F77CAE"/>
    <w:rsid w:val="00F85F88"/>
    <w:rsid w:val="00F96BB9"/>
    <w:rsid w:val="00FB2277"/>
    <w:rsid w:val="00FC0C6D"/>
    <w:rsid w:val="00FD34E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85E4728"/>
  <w15:docId w15:val="{4B3DDFEB-D954-41A5-AFFC-CD48E79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9B"/>
    <w:pPr>
      <w:suppressAutoHyphens/>
      <w:spacing w:before="180" w:after="80" w:line="280" w:lineRule="exact"/>
      <w:jc w:val="both"/>
    </w:pPr>
    <w:rPr>
      <w:color w:val="850F6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1F1B"/>
    <w:pPr>
      <w:spacing w:before="0" w:after="120" w:line="720" w:lineRule="exact"/>
    </w:pPr>
    <w:rPr>
      <w:kern w:val="28"/>
      <w:sz w:val="7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1F1B"/>
    <w:rPr>
      <w:rFonts w:asciiTheme="majorHAnsi" w:eastAsiaTheme="majorEastAsia" w:hAnsiTheme="majorHAnsi" w:cstheme="majorBidi"/>
      <w:b/>
      <w:bCs/>
      <w:color w:val="850F6D" w:themeColor="text2"/>
      <w:kern w:val="28"/>
      <w:sz w:val="7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66B14"/>
    <w:pPr>
      <w:numPr>
        <w:ilvl w:val="1"/>
      </w:numPr>
      <w:spacing w:before="120" w:after="100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B14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</w:rPr>
  </w:style>
  <w:style w:type="paragraph" w:customStyle="1" w:styleId="Bullet1">
    <w:name w:val="Bullet 1"/>
    <w:basedOn w:val="Normal"/>
    <w:qFormat/>
    <w:rsid w:val="000705F9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sz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sz w:val="22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sz w:val="22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CF7A-988D-44C2-A76C-7B144AFE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keywords>[SEC=OFFICIAL]</cp:keywords>
  <cp:lastModifiedBy>WEERARATNE, Aj</cp:lastModifiedBy>
  <cp:revision>2</cp:revision>
  <cp:lastPrinted>2013-10-29T09:49:00Z</cp:lastPrinted>
  <dcterms:created xsi:type="dcterms:W3CDTF">2024-11-07T01:10:00Z</dcterms:created>
  <dcterms:modified xsi:type="dcterms:W3CDTF">2024-11-07T01:10:00Z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v=2022.1;a=SHA256;h=084C8179856489C0CF56F1C9DC988AF6B691EE335851B9BCBF7ADCCF6B9E37C6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2024-11-07T01:10:23Z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2024-11-07T01:10:23Z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50abc335849a44d3a5cf1061a7ab59b8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EDFEDAAB2330C5A66FCBC05EC60B675C40567651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5ABE72BC7433452FA1EAF662391B54EA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E3F1403C5B01BCF3F00152C4900CEBEADDF7F13EC3B5E549E0F461B08ACFC1C9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13C907459A54AB07C8996185680948D1</vt:lpwstr>
  </property>
  <property fmtid="{D5CDD505-2E9C-101B-9397-08002B2CF9AE}" pid="32" name="PM_Hash_Salt">
    <vt:lpwstr>13C907459A54AB07C8996185680948D1</vt:lpwstr>
  </property>
  <property fmtid="{D5CDD505-2E9C-101B-9397-08002B2CF9AE}" pid="33" name="PM_Hash_SHA1">
    <vt:lpwstr>24C5BCC9242F018EF0D3F1687C03CA9FB726E9C2</vt:lpwstr>
  </property>
</Properties>
</file>