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7191" w14:textId="77777777" w:rsidR="007D174A" w:rsidRPr="007D174A" w:rsidRDefault="007D174A" w:rsidP="007D174A">
      <w:pPr>
        <w:pStyle w:val="Title"/>
      </w:pPr>
      <w:r w:rsidRPr="007D174A">
        <w:t xml:space="preserve">Managing staff </w:t>
      </w:r>
    </w:p>
    <w:p w14:paraId="674493E9" w14:textId="33EE665A" w:rsidR="007D174A" w:rsidRDefault="007D174A" w:rsidP="007D17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an existing employee shares information about their disability during a disciplinary process for a decline in productivity – how do you respond? The below outlines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scenarios, and whether or not they are an appropriate way to respond. If you are unsure about any of these </w:t>
      </w:r>
      <w:proofErr w:type="gramStart"/>
      <w:r>
        <w:rPr>
          <w:rFonts w:ascii="Arial" w:hAnsi="Arial" w:cs="Arial"/>
        </w:rPr>
        <w:t>scenarios, or</w:t>
      </w:r>
      <w:proofErr w:type="gramEnd"/>
      <w:r>
        <w:rPr>
          <w:rFonts w:ascii="Arial" w:hAnsi="Arial" w:cs="Arial"/>
        </w:rPr>
        <w:t xml:space="preserve"> would like access to free and confidential disability employment advice call the </w:t>
      </w:r>
      <w:proofErr w:type="spellStart"/>
      <w:r>
        <w:rPr>
          <w:rFonts w:ascii="Arial" w:hAnsi="Arial" w:cs="Arial"/>
        </w:rPr>
        <w:t>JobAccess</w:t>
      </w:r>
      <w:proofErr w:type="spellEnd"/>
      <w:r>
        <w:rPr>
          <w:rFonts w:ascii="Arial" w:hAnsi="Arial" w:cs="Arial"/>
        </w:rPr>
        <w:t xml:space="preserve"> Service on 1800 464 800.</w:t>
      </w:r>
    </w:p>
    <w:p w14:paraId="6D56CA55" w14:textId="77777777" w:rsidR="007D174A" w:rsidRDefault="007D174A" w:rsidP="007D17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D174A" w14:paraId="38581C37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219B24DB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Work together with the employee to develop the steps you might need to take to address the issues that relate to their disability that are affecting them at work.</w:t>
            </w:r>
          </w:p>
          <w:p w14:paraId="57E1A94B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072883E2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>YES</w:t>
            </w:r>
            <w:r w:rsidRPr="00B23AD1">
              <w:rPr>
                <w:rFonts w:ascii="Arial" w:hAnsi="Arial" w:cs="Arial"/>
                <w:sz w:val="23"/>
                <w:szCs w:val="23"/>
              </w:rPr>
              <w:t xml:space="preserve"> – most employees will be able to advise what assistance is required.</w:t>
            </w:r>
          </w:p>
        </w:tc>
      </w:tr>
      <w:tr w:rsidR="007D174A" w14:paraId="0F762BA5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273F3CC7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Use a hostile or confrontational approach and hope he / she snaps out of it.</w:t>
            </w:r>
          </w:p>
          <w:p w14:paraId="400B6D1E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1165F50A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>NO</w:t>
            </w:r>
            <w:r w:rsidRPr="00B23AD1">
              <w:rPr>
                <w:rFonts w:ascii="Arial" w:hAnsi="Arial" w:cs="Arial"/>
                <w:sz w:val="23"/>
                <w:szCs w:val="23"/>
              </w:rPr>
              <w:t xml:space="preserve"> – employees need to be treated in a respectful manner and offered support to continue at work.</w:t>
            </w:r>
          </w:p>
        </w:tc>
      </w:tr>
      <w:tr w:rsidR="007D174A" w14:paraId="134D0CF0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43751675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Ask the employee directly about their disability, what medication they require and how it affects them personally.</w:t>
            </w:r>
          </w:p>
          <w:p w14:paraId="7DEB6536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4A96B93C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>NO</w:t>
            </w:r>
            <w:r w:rsidRPr="00B23AD1">
              <w:rPr>
                <w:rFonts w:ascii="Arial" w:hAnsi="Arial" w:cs="Arial"/>
                <w:sz w:val="23"/>
                <w:szCs w:val="23"/>
              </w:rPr>
              <w:t xml:space="preserve"> – keep questions work focused not personal.</w:t>
            </w:r>
          </w:p>
        </w:tc>
      </w:tr>
      <w:tr w:rsidR="007D174A" w14:paraId="2AB49240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0DF61A5F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Advise it might be best if they look for another job that is better suited to their condition.</w:t>
            </w:r>
          </w:p>
          <w:p w14:paraId="355E776B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04181399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>NO</w:t>
            </w:r>
            <w:r w:rsidRPr="00B23AD1">
              <w:rPr>
                <w:rFonts w:ascii="Arial" w:hAnsi="Arial" w:cs="Arial"/>
                <w:sz w:val="23"/>
                <w:szCs w:val="23"/>
              </w:rPr>
              <w:t xml:space="preserve"> – this may be considered discrimination.</w:t>
            </w:r>
          </w:p>
        </w:tc>
      </w:tr>
      <w:tr w:rsidR="007D174A" w14:paraId="174AB600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6C5B6788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Recommence the disciplinary process if poor performance continues after reasonable adjustments have been successfully implemented.</w:t>
            </w:r>
          </w:p>
          <w:p w14:paraId="099FB4C9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4EE7378B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>YES</w:t>
            </w:r>
            <w:r w:rsidRPr="00B23AD1">
              <w:rPr>
                <w:rFonts w:ascii="Arial" w:hAnsi="Arial" w:cs="Arial"/>
                <w:sz w:val="23"/>
                <w:szCs w:val="23"/>
              </w:rPr>
              <w:t xml:space="preserve"> – if you can demonstrate the inherent requirements of the job are not being completed even with support and reasonable adjustments, disciplinary action may continue.</w:t>
            </w:r>
          </w:p>
        </w:tc>
      </w:tr>
      <w:tr w:rsidR="007D174A" w14:paraId="74585544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2834E40F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Stop the disciplinary process and make another time to discuss once you understand the condition more fully.</w:t>
            </w:r>
          </w:p>
          <w:p w14:paraId="101DE6EC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6630AC8C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 xml:space="preserve">YES </w:t>
            </w:r>
            <w:r w:rsidRPr="00B23AD1">
              <w:rPr>
                <w:rFonts w:ascii="Arial" w:hAnsi="Arial" w:cs="Arial"/>
                <w:sz w:val="23"/>
                <w:szCs w:val="23"/>
              </w:rPr>
              <w:t>– you may need to ask if reasonable adjustments can be made to improve performance.</w:t>
            </w:r>
          </w:p>
        </w:tc>
      </w:tr>
      <w:tr w:rsidR="007D174A" w14:paraId="5F62D11A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7BCC0CCF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lastRenderedPageBreak/>
              <w:t>Ignore the information shared by the employee as the condition will probably go away.</w:t>
            </w:r>
          </w:p>
          <w:p w14:paraId="5E144BD2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4BADA369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 xml:space="preserve">NO </w:t>
            </w:r>
            <w:r w:rsidRPr="00B23AD1">
              <w:rPr>
                <w:rFonts w:ascii="Arial" w:hAnsi="Arial" w:cs="Arial"/>
                <w:sz w:val="23"/>
                <w:szCs w:val="23"/>
              </w:rPr>
              <w:t>– legally employers must offer reasonable adjustments to allow employees an opportunity to complete the inherent requirements.</w:t>
            </w:r>
          </w:p>
        </w:tc>
      </w:tr>
      <w:tr w:rsidR="007D174A" w14:paraId="6A8551BA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6CFCCA1A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Discuss the employee’s condition with the other managers and see what they would do.</w:t>
            </w:r>
          </w:p>
          <w:p w14:paraId="38E24AB8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5C5957AC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>NO</w:t>
            </w:r>
            <w:r w:rsidRPr="00B23AD1">
              <w:rPr>
                <w:rFonts w:ascii="Arial" w:hAnsi="Arial" w:cs="Arial"/>
                <w:sz w:val="23"/>
                <w:szCs w:val="23"/>
              </w:rPr>
              <w:t xml:space="preserve"> - you will need to ensure the employee is comfortable to disclose disability with other managers before you discuss the situation.</w:t>
            </w:r>
          </w:p>
        </w:tc>
      </w:tr>
      <w:tr w:rsidR="007D174A" w14:paraId="4BB3ADCA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179D2A29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Give a timeline to implement the workplace adjustments.</w:t>
            </w:r>
          </w:p>
          <w:p w14:paraId="0367155B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24AAE8DA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>YES</w:t>
            </w:r>
            <w:r w:rsidRPr="00B23AD1">
              <w:rPr>
                <w:rFonts w:ascii="Arial" w:hAnsi="Arial" w:cs="Arial"/>
                <w:sz w:val="23"/>
                <w:szCs w:val="23"/>
              </w:rPr>
              <w:t xml:space="preserve"> – set some goals with the employee and aim to get things back on track.</w:t>
            </w:r>
          </w:p>
        </w:tc>
      </w:tr>
      <w:tr w:rsidR="007D174A" w14:paraId="773E812C" w14:textId="77777777" w:rsidTr="007B23D6">
        <w:trPr>
          <w:trHeight w:val="1496"/>
        </w:trPr>
        <w:tc>
          <w:tcPr>
            <w:tcW w:w="4258" w:type="dxa"/>
            <w:vAlign w:val="center"/>
          </w:tcPr>
          <w:p w14:paraId="471EF9DF" w14:textId="77777777" w:rsidR="007D174A" w:rsidRPr="007D174A" w:rsidRDefault="007D174A" w:rsidP="007B23D6">
            <w:pPr>
              <w:pStyle w:val="NDRCHeading2"/>
              <w:spacing w:before="180" w:after="80" w:line="240" w:lineRule="exact"/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</w:pPr>
            <w:r w:rsidRPr="007D174A">
              <w:rPr>
                <w:rFonts w:ascii="Arial" w:eastAsiaTheme="minorHAnsi" w:hAnsi="Arial" w:cs="Arial"/>
                <w:b/>
                <w:bCs w:val="0"/>
                <w:iCs w:val="0"/>
                <w:color w:val="5E6167" w:themeColor="accent2"/>
                <w:spacing w:val="0"/>
                <w:sz w:val="23"/>
                <w:szCs w:val="23"/>
                <w:lang w:val="en-AU" w:eastAsia="en-US"/>
              </w:rPr>
              <w:t>Ask the employee how their disability affects them at work and what adjustments may support meeting the inherent requirements of the job.</w:t>
            </w:r>
          </w:p>
          <w:p w14:paraId="0A64B18A" w14:textId="77777777" w:rsidR="007D174A" w:rsidRPr="007D174A" w:rsidRDefault="007D174A" w:rsidP="007B23D6">
            <w:pPr>
              <w:rPr>
                <w:rFonts w:ascii="Arial" w:hAnsi="Arial" w:cs="Arial"/>
                <w:b/>
                <w:bCs/>
                <w:color w:val="5E6167" w:themeColor="accent2"/>
              </w:rPr>
            </w:pPr>
          </w:p>
        </w:tc>
        <w:tc>
          <w:tcPr>
            <w:tcW w:w="4258" w:type="dxa"/>
            <w:vAlign w:val="center"/>
          </w:tcPr>
          <w:p w14:paraId="53FBA039" w14:textId="77777777" w:rsidR="007D174A" w:rsidRPr="00B23AD1" w:rsidRDefault="007D174A" w:rsidP="007B23D6">
            <w:pPr>
              <w:rPr>
                <w:rFonts w:ascii="Arial" w:hAnsi="Arial" w:cs="Arial"/>
                <w:bCs/>
              </w:rPr>
            </w:pPr>
            <w:r w:rsidRPr="00B23AD1">
              <w:rPr>
                <w:rStyle w:val="Strong"/>
                <w:rFonts w:ascii="Arial" w:hAnsi="Arial" w:cs="Arial"/>
              </w:rPr>
              <w:t>YES</w:t>
            </w:r>
            <w:r w:rsidRPr="00B23AD1">
              <w:rPr>
                <w:rFonts w:ascii="Arial" w:hAnsi="Arial" w:cs="Arial"/>
                <w:sz w:val="23"/>
                <w:szCs w:val="23"/>
              </w:rPr>
              <w:t xml:space="preserve"> – the employee is often the best person to understand and recommend adjustments that may be required.</w:t>
            </w:r>
          </w:p>
        </w:tc>
      </w:tr>
    </w:tbl>
    <w:p w14:paraId="45C1E2C4" w14:textId="77777777" w:rsidR="00F91DB7" w:rsidRDefault="00F91DB7" w:rsidP="005055F1"/>
    <w:sectPr w:rsidR="00F91DB7" w:rsidSect="00F91DB7">
      <w:headerReference w:type="default" r:id="rId8"/>
      <w:footerReference w:type="default" r:id="rId9"/>
      <w:headerReference w:type="first" r:id="rId10"/>
      <w:type w:val="continuous"/>
      <w:pgSz w:w="11906" w:h="16838" w:code="9"/>
      <w:pgMar w:top="-2552" w:right="907" w:bottom="425" w:left="907" w:header="43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99B8" w14:textId="77777777" w:rsidR="00FC130C" w:rsidRDefault="00FC130C" w:rsidP="00F174B8">
      <w:r>
        <w:separator/>
      </w:r>
    </w:p>
  </w:endnote>
  <w:endnote w:type="continuationSeparator" w:id="0">
    <w:p w14:paraId="116C6F8C" w14:textId="77777777" w:rsidR="00FC130C" w:rsidRDefault="00FC130C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ldItalic">
    <w:altName w:val="Cambria"/>
    <w:charset w:val="00"/>
    <w:family w:val="auto"/>
    <w:pitch w:val="variable"/>
    <w:sig w:usb0="00000003" w:usb1="00000000" w:usb2="00000000" w:usb3="00000000" w:csb0="00000001" w:csb1="00000000"/>
  </w:font>
  <w:font w:name="OfficinaSans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622F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971C08" wp14:editId="511B32FA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4A012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71C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" stroked="f">
              <v:textbox>
                <w:txbxContent>
                  <w:p w14:paraId="3CB4A012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1B7F7305" wp14:editId="036C4443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836FB7" wp14:editId="2C61B438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7B5A92B1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5CBA869C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66FA5" w14:textId="77777777" w:rsidR="00FC130C" w:rsidRDefault="00FC130C" w:rsidP="00F174B8">
      <w:r>
        <w:separator/>
      </w:r>
    </w:p>
  </w:footnote>
  <w:footnote w:type="continuationSeparator" w:id="0">
    <w:p w14:paraId="106263E6" w14:textId="77777777" w:rsidR="00FC130C" w:rsidRDefault="00FC130C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E56A" w14:textId="77777777" w:rsidR="00F52575" w:rsidRPr="00F52575" w:rsidRDefault="00F91DB7" w:rsidP="00F52575">
    <w:pPr>
      <w:pStyle w:val="Subtitle"/>
      <w:jc w:val="right"/>
      <w:rPr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3F53A3EE" wp14:editId="06C4C3C5">
          <wp:simplePos x="0" y="0"/>
          <wp:positionH relativeFrom="column">
            <wp:posOffset>1918</wp:posOffset>
          </wp:positionH>
          <wp:positionV relativeFrom="paragraph">
            <wp:posOffset>136525</wp:posOffset>
          </wp:positionV>
          <wp:extent cx="1725283" cy="576575"/>
          <wp:effectExtent l="0" t="0" r="2540" b="0"/>
          <wp:wrapNone/>
          <wp:docPr id="1" name="Picture 1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83" cy="5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575">
      <w:br/>
    </w:r>
  </w:p>
  <w:p w14:paraId="167713F0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8576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4BA22F" wp14:editId="5F99B6BF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69EEB5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1AF7664E" w14:textId="74DD4D0A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 w:rsidR="007D174A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6.1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4BA2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" fillcolor="white [3201]" stroked="f" strokeweight=".5pt">
              <v:textbox>
                <w:txbxContent>
                  <w:p w14:paraId="2069EEB5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1AF7664E" w14:textId="74DD4D0A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 w:rsidR="007D174A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6.1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270496C7" wp14:editId="76191E84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2E767C4"/>
    <w:multiLevelType w:val="hybridMultilevel"/>
    <w:tmpl w:val="5066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7769364">
    <w:abstractNumId w:val="11"/>
  </w:num>
  <w:num w:numId="2" w16cid:durableId="1914076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293458">
    <w:abstractNumId w:val="0"/>
  </w:num>
  <w:num w:numId="4" w16cid:durableId="1630864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883179">
    <w:abstractNumId w:val="5"/>
  </w:num>
  <w:num w:numId="6" w16cid:durableId="374283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14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1845794">
    <w:abstractNumId w:val="1"/>
  </w:num>
  <w:num w:numId="9" w16cid:durableId="281812735">
    <w:abstractNumId w:val="9"/>
  </w:num>
  <w:num w:numId="10" w16cid:durableId="1527329194">
    <w:abstractNumId w:val="10"/>
  </w:num>
  <w:num w:numId="11" w16cid:durableId="994381022">
    <w:abstractNumId w:val="3"/>
  </w:num>
  <w:num w:numId="12" w16cid:durableId="919827481">
    <w:abstractNumId w:val="12"/>
  </w:num>
  <w:num w:numId="13" w16cid:durableId="286854739">
    <w:abstractNumId w:val="6"/>
  </w:num>
  <w:num w:numId="14" w16cid:durableId="1278098196">
    <w:abstractNumId w:val="2"/>
  </w:num>
  <w:num w:numId="15" w16cid:durableId="45375625">
    <w:abstractNumId w:val="13"/>
  </w:num>
  <w:num w:numId="16" w16cid:durableId="1669333117">
    <w:abstractNumId w:val="7"/>
  </w:num>
  <w:num w:numId="17" w16cid:durableId="1561090351">
    <w:abstractNumId w:val="4"/>
  </w:num>
  <w:num w:numId="18" w16cid:durableId="480117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11342E"/>
    <w:rsid w:val="00130D0E"/>
    <w:rsid w:val="001541EA"/>
    <w:rsid w:val="00184704"/>
    <w:rsid w:val="00196460"/>
    <w:rsid w:val="001A7DDE"/>
    <w:rsid w:val="001C5B63"/>
    <w:rsid w:val="001E1DC0"/>
    <w:rsid w:val="001E66BA"/>
    <w:rsid w:val="001E6F02"/>
    <w:rsid w:val="00240254"/>
    <w:rsid w:val="002453AF"/>
    <w:rsid w:val="00247087"/>
    <w:rsid w:val="00283D44"/>
    <w:rsid w:val="0028602A"/>
    <w:rsid w:val="002A3689"/>
    <w:rsid w:val="002C2585"/>
    <w:rsid w:val="002D50E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423F31"/>
    <w:rsid w:val="0042695C"/>
    <w:rsid w:val="00431899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84817"/>
    <w:rsid w:val="005A1F1B"/>
    <w:rsid w:val="005A70B2"/>
    <w:rsid w:val="005B5DEE"/>
    <w:rsid w:val="005E3F13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23EB"/>
    <w:rsid w:val="00734E3F"/>
    <w:rsid w:val="00736985"/>
    <w:rsid w:val="00792E72"/>
    <w:rsid w:val="007B6200"/>
    <w:rsid w:val="007B6F69"/>
    <w:rsid w:val="007B6FA4"/>
    <w:rsid w:val="007D174A"/>
    <w:rsid w:val="00801B9F"/>
    <w:rsid w:val="00894A5F"/>
    <w:rsid w:val="008A730F"/>
    <w:rsid w:val="008D05F0"/>
    <w:rsid w:val="008F0F3A"/>
    <w:rsid w:val="00934562"/>
    <w:rsid w:val="009545B5"/>
    <w:rsid w:val="009705B0"/>
    <w:rsid w:val="00974084"/>
    <w:rsid w:val="009A4B7C"/>
    <w:rsid w:val="009B4D3B"/>
    <w:rsid w:val="009D7407"/>
    <w:rsid w:val="009E0866"/>
    <w:rsid w:val="00A24A62"/>
    <w:rsid w:val="00A305F9"/>
    <w:rsid w:val="00A31C9F"/>
    <w:rsid w:val="00A55104"/>
    <w:rsid w:val="00A749C1"/>
    <w:rsid w:val="00AC164A"/>
    <w:rsid w:val="00AE4D34"/>
    <w:rsid w:val="00AF1058"/>
    <w:rsid w:val="00AF2050"/>
    <w:rsid w:val="00B13E92"/>
    <w:rsid w:val="00B62B1D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D1E63"/>
    <w:rsid w:val="00CD5CE5"/>
    <w:rsid w:val="00D0296C"/>
    <w:rsid w:val="00D05305"/>
    <w:rsid w:val="00D32B4E"/>
    <w:rsid w:val="00D34C91"/>
    <w:rsid w:val="00D93AC4"/>
    <w:rsid w:val="00D948FE"/>
    <w:rsid w:val="00D959BC"/>
    <w:rsid w:val="00DB62EE"/>
    <w:rsid w:val="00DE0DAA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A5FD5"/>
    <w:rsid w:val="00EC15AE"/>
    <w:rsid w:val="00ED43D1"/>
    <w:rsid w:val="00EE4EE1"/>
    <w:rsid w:val="00EF4574"/>
    <w:rsid w:val="00EF71AD"/>
    <w:rsid w:val="00F1519E"/>
    <w:rsid w:val="00F174B8"/>
    <w:rsid w:val="00F2684E"/>
    <w:rsid w:val="00F275A5"/>
    <w:rsid w:val="00F5198B"/>
    <w:rsid w:val="00F52575"/>
    <w:rsid w:val="00F71C07"/>
    <w:rsid w:val="00F729EF"/>
    <w:rsid w:val="00F77CAE"/>
    <w:rsid w:val="00F83E40"/>
    <w:rsid w:val="00F91DB7"/>
    <w:rsid w:val="00F96BB9"/>
    <w:rsid w:val="00FB19AA"/>
    <w:rsid w:val="00FB2277"/>
    <w:rsid w:val="00FC130C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44008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  <w:style w:type="paragraph" w:customStyle="1" w:styleId="NDRCHeading2">
    <w:name w:val="NDRC Heading 2"/>
    <w:qFormat/>
    <w:rsid w:val="007D174A"/>
    <w:pPr>
      <w:spacing w:after="200" w:line="240" w:lineRule="auto"/>
    </w:pPr>
    <w:rPr>
      <w:rFonts w:ascii="ITC Officina Sans BoldItalic" w:eastAsiaTheme="minorEastAsia" w:hAnsi="ITC Officina Sans BoldItalic" w:cs="OfficinaSans-BoldItalic"/>
      <w:bCs/>
      <w:iCs/>
      <w:color w:val="000000" w:themeColor="text1"/>
      <w:spacing w:val="-2"/>
      <w:sz w:val="32"/>
      <w:szCs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89B5-A0CF-BE4F-BC93-8F47AA95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2050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[SEC=OFFICIAL]</cp:keywords>
  <cp:lastModifiedBy>LAMPASONA, Tully</cp:lastModifiedBy>
  <cp:revision>2</cp:revision>
  <cp:lastPrinted>2013-10-29T09:49:00Z</cp:lastPrinted>
  <dcterms:created xsi:type="dcterms:W3CDTF">2024-12-06T06:48:00Z</dcterms:created>
  <dcterms:modified xsi:type="dcterms:W3CDTF">2024-12-06T06:48:00Z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v=2022.1;a=SHA256;h=95FC3905F4C3883C7F6275B890D491CB9F6603FCE7308D22976148D161B64B8D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2024-12-06T06:48:17Z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2024-12-06T06:48:17Z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ecdcde3d8d32463db1bc4ef79c9a5037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2883FF042AF00E806878E0FC36B2737010979FC9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8CD5A937B83B4816A005630C15A783FF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98C17CA43C4B29C0FA980FB009564BB7</vt:lpwstr>
  </property>
  <property fmtid="{D5CDD505-2E9C-101B-9397-08002B2CF9AE}" pid="32" name="PM_Hash_Salt">
    <vt:lpwstr>98C17CA43C4B29C0FA980FB009564BB7</vt:lpwstr>
  </property>
  <property fmtid="{D5CDD505-2E9C-101B-9397-08002B2CF9AE}" pid="33" name="PM_Hash_SHA1">
    <vt:lpwstr>318E57FBC7AE221BCFCF1A0E32D52F61AE6EE134</vt:lpwstr>
  </property>
</Properties>
</file>